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31F4" w14:textId="3B9F3C5F" w:rsidR="005A2307" w:rsidRPr="007E6358" w:rsidRDefault="005A2307" w:rsidP="005A2307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</w:rPr>
      </w:pPr>
      <w:r w:rsidRPr="007E6358">
        <w:rPr>
          <w:rFonts w:cstheme="minorHAnsi"/>
          <w:b/>
          <w:bCs/>
        </w:rPr>
        <w:t xml:space="preserve">Title: </w:t>
      </w:r>
      <w:r w:rsidRPr="007E6358">
        <w:rPr>
          <w:rFonts w:cstheme="minorHAnsi"/>
          <w:b/>
          <w:color w:val="000000" w:themeColor="text1"/>
        </w:rPr>
        <w:t>Quality of Care for Older Adults: Medication Management in Medical Homes</w:t>
      </w:r>
    </w:p>
    <w:p w14:paraId="000ABE67" w14:textId="77777777" w:rsidR="00681115" w:rsidRDefault="00681115"/>
    <w:p w14:paraId="1FAE4D11" w14:textId="5DC7CBF8" w:rsidR="00211B47" w:rsidRDefault="00A05D1C">
      <w:r>
        <w:t>To improve the care provided to older adults</w:t>
      </w:r>
      <w:r w:rsidR="005A2307">
        <w:t xml:space="preserve"> a randomized clinical trial</w:t>
      </w:r>
      <w:r w:rsidR="00EC1EC7">
        <w:t xml:space="preserve"> was conducted</w:t>
      </w:r>
      <w:r w:rsidR="005A2307">
        <w:t xml:space="preserve"> in adults 65+</w:t>
      </w:r>
      <w:r w:rsidR="00A43199">
        <w:t xml:space="preserve"> (i.e., older adults)</w:t>
      </w:r>
      <w:r w:rsidR="005A2307">
        <w:t xml:space="preserve"> to test whether </w:t>
      </w:r>
      <w:r w:rsidR="00EC1EC7">
        <w:t>an</w:t>
      </w:r>
      <w:r w:rsidR="005A2307">
        <w:t xml:space="preserve"> individualized medication assessment and planning (</w:t>
      </w:r>
      <w:proofErr w:type="spellStart"/>
      <w:r w:rsidR="005A2307" w:rsidRPr="001E16AA">
        <w:rPr>
          <w:i/>
          <w:iCs/>
        </w:rPr>
        <w:t>i</w:t>
      </w:r>
      <w:r w:rsidR="005A2307">
        <w:t>MAP</w:t>
      </w:r>
      <w:proofErr w:type="spellEnd"/>
      <w:r w:rsidR="005A2307">
        <w:t xml:space="preserve">) intervention was superior to standard care </w:t>
      </w:r>
      <w:r w:rsidR="005F43BC">
        <w:t xml:space="preserve">(SC) </w:t>
      </w:r>
      <w:r w:rsidR="005A2307">
        <w:t xml:space="preserve">in two community-based primary care practices.  </w:t>
      </w:r>
      <w:r>
        <w:t xml:space="preserve">The goal </w:t>
      </w:r>
      <w:r w:rsidR="002E130A">
        <w:t xml:space="preserve">was </w:t>
      </w:r>
      <w:r>
        <w:t xml:space="preserve">to show </w:t>
      </w:r>
      <w:r w:rsidR="002E130A">
        <w:t xml:space="preserve">that </w:t>
      </w:r>
      <w:r w:rsidR="00EC1EC7">
        <w:t>this</w:t>
      </w:r>
      <w:r>
        <w:t xml:space="preserve"> innovative program, led by a clinical pharmacist, integrated within a primary care practice, can improve medication use and care provided to medically compl</w:t>
      </w:r>
      <w:r w:rsidR="00D578B1">
        <w:t>icated</w:t>
      </w:r>
      <w:r>
        <w:t xml:space="preserve"> older adults, and lead to reduced acute health services utilization</w:t>
      </w:r>
      <w:r w:rsidR="00BA04CB">
        <w:t xml:space="preserve"> and </w:t>
      </w:r>
      <w:r>
        <w:t xml:space="preserve">potential medication related problems (MRPs). </w:t>
      </w:r>
      <w:r w:rsidR="00AB2CF2">
        <w:t>English speaking p</w:t>
      </w:r>
      <w:r w:rsidR="005A2307">
        <w:t>articipants</w:t>
      </w:r>
      <w:r w:rsidR="00E10C60">
        <w:t xml:space="preserve"> </w:t>
      </w:r>
      <w:r w:rsidR="002E130A">
        <w:t>taking at least 3 total medications, at least one of which needed to be a prescription medication,</w:t>
      </w:r>
      <w:r w:rsidR="00B67AA7">
        <w:t xml:space="preserve"> with projected life expectancy of at least 12 months</w:t>
      </w:r>
      <w:r w:rsidR="002E130A">
        <w:t xml:space="preserve"> </w:t>
      </w:r>
      <w:r w:rsidR="00A71541">
        <w:t xml:space="preserve">and at least one MRP at baseline </w:t>
      </w:r>
      <w:r w:rsidR="00E10C60">
        <w:t>were enrolled between February 2017 and December 2019</w:t>
      </w:r>
      <w:r w:rsidR="002E130A">
        <w:t>. They</w:t>
      </w:r>
      <w:r w:rsidR="00E10C60">
        <w:t xml:space="preserve"> </w:t>
      </w:r>
      <w:r w:rsidR="005A2307">
        <w:t xml:space="preserve">were randomized in a 1:1 fashion </w:t>
      </w:r>
      <w:r w:rsidR="005F43BC">
        <w:t xml:space="preserve">to </w:t>
      </w:r>
      <w:proofErr w:type="spellStart"/>
      <w:r w:rsidR="00F16F36" w:rsidRPr="001E16AA">
        <w:rPr>
          <w:i/>
          <w:iCs/>
        </w:rPr>
        <w:t>i</w:t>
      </w:r>
      <w:r w:rsidR="005F43BC">
        <w:t>M</w:t>
      </w:r>
      <w:r w:rsidR="00F16F36">
        <w:t>A</w:t>
      </w:r>
      <w:r w:rsidR="005F43BC">
        <w:t>P</w:t>
      </w:r>
      <w:proofErr w:type="spellEnd"/>
      <w:r w:rsidR="005F43BC">
        <w:t xml:space="preserve"> or SC</w:t>
      </w:r>
      <w:r w:rsidR="0077154F">
        <w:t>,</w:t>
      </w:r>
      <w:r w:rsidR="005F43BC">
        <w:t xml:space="preserve"> </w:t>
      </w:r>
      <w:r w:rsidR="005A2307" w:rsidRPr="00383264">
        <w:rPr>
          <w:u w:val="single"/>
        </w:rPr>
        <w:t>stratified</w:t>
      </w:r>
      <w:r w:rsidR="005A2307">
        <w:t xml:space="preserve"> by site</w:t>
      </w:r>
      <w:r w:rsidR="007A5BF9">
        <w:t xml:space="preserve"> and</w:t>
      </w:r>
      <w:r w:rsidR="005A2307">
        <w:t xml:space="preserve"> </w:t>
      </w:r>
      <w:r w:rsidR="00211B47">
        <w:t xml:space="preserve">race (White vs. non-White). </w:t>
      </w:r>
      <w:r w:rsidR="00AB2CF2">
        <w:t>All p</w:t>
      </w:r>
      <w:r w:rsidR="00211B47">
        <w:t xml:space="preserve">articipants were </w:t>
      </w:r>
      <w:r w:rsidR="00AB2CF2">
        <w:t xml:space="preserve">to be </w:t>
      </w:r>
      <w:r w:rsidR="00211B47">
        <w:t xml:space="preserve">followed for 12 months.  </w:t>
      </w:r>
    </w:p>
    <w:p w14:paraId="54042ECD" w14:textId="626934AD" w:rsidR="00B36452" w:rsidRPr="006F4426" w:rsidRDefault="00A05D1C" w:rsidP="00A05D1C">
      <w:pPr>
        <w:spacing w:after="0" w:line="240" w:lineRule="auto"/>
        <w:rPr>
          <w:rFonts w:cstheme="minorHAnsi"/>
        </w:rPr>
      </w:pPr>
      <w:r>
        <w:rPr>
          <w:b/>
          <w:bCs/>
        </w:rPr>
        <w:t>Intervention</w:t>
      </w:r>
      <w:r>
        <w:t xml:space="preserve">: </w:t>
      </w:r>
      <w:r w:rsidRPr="00B71017">
        <w:rPr>
          <w:rFonts w:cstheme="minorHAnsi"/>
          <w:noProof/>
          <w:u w:val="single"/>
        </w:rPr>
        <w:t>The</w:t>
      </w:r>
      <w:r w:rsidRPr="00B71017">
        <w:rPr>
          <w:rFonts w:cstheme="minorHAnsi"/>
          <w:i/>
          <w:noProof/>
          <w:u w:val="single"/>
        </w:rPr>
        <w:t xml:space="preserve"> i</w:t>
      </w:r>
      <w:r w:rsidRPr="00B71017">
        <w:rPr>
          <w:rFonts w:cstheme="minorHAnsi"/>
          <w:noProof/>
          <w:u w:val="single"/>
        </w:rPr>
        <w:t>MAP</w:t>
      </w:r>
      <w:r w:rsidRPr="00B71017">
        <w:rPr>
          <w:rFonts w:cstheme="minorHAnsi"/>
          <w:i/>
          <w:u w:val="single"/>
        </w:rPr>
        <w:t xml:space="preserve"> </w:t>
      </w:r>
      <w:r w:rsidRPr="00B71017">
        <w:rPr>
          <w:rFonts w:cstheme="minorHAnsi"/>
          <w:u w:val="single"/>
        </w:rPr>
        <w:t>tool for assessing and resolving MRPs</w:t>
      </w:r>
      <w:r w:rsidRPr="00B71017">
        <w:rPr>
          <w:rFonts w:cstheme="minorHAnsi"/>
        </w:rPr>
        <w:t xml:space="preserve">, developed to aid clinical pharmacists in documenting MRPs and associated recommendations, </w:t>
      </w:r>
      <w:r w:rsidR="002E130A">
        <w:rPr>
          <w:rFonts w:cstheme="minorHAnsi"/>
        </w:rPr>
        <w:t>was</w:t>
      </w:r>
      <w:r w:rsidRPr="00B71017">
        <w:rPr>
          <w:rFonts w:cstheme="minorHAnsi"/>
        </w:rPr>
        <w:t xml:space="preserve"> used in the study. It provides a reliable and easy</w:t>
      </w:r>
      <w:r>
        <w:rPr>
          <w:rFonts w:cstheme="minorHAnsi"/>
        </w:rPr>
        <w:t>-</w:t>
      </w:r>
      <w:r w:rsidRPr="00B71017">
        <w:rPr>
          <w:rFonts w:cstheme="minorHAnsi"/>
        </w:rPr>
        <w:t>to</w:t>
      </w:r>
      <w:r>
        <w:rPr>
          <w:rFonts w:cstheme="minorHAnsi"/>
        </w:rPr>
        <w:t>-</w:t>
      </w:r>
      <w:r w:rsidRPr="00B71017">
        <w:rPr>
          <w:rFonts w:cstheme="minorHAnsi"/>
        </w:rPr>
        <w:t xml:space="preserve">use tool for clinical pharmacists in the ambulatory care setting to classify MRPs and provide recommendations. </w:t>
      </w:r>
    </w:p>
    <w:p w14:paraId="1A41F126" w14:textId="77777777" w:rsidR="00A05D1C" w:rsidRPr="00A05D1C" w:rsidRDefault="00A05D1C" w:rsidP="00A05D1C">
      <w:pPr>
        <w:spacing w:after="0" w:line="240" w:lineRule="auto"/>
        <w:rPr>
          <w:rFonts w:cstheme="minorHAnsi"/>
        </w:rPr>
      </w:pPr>
    </w:p>
    <w:p w14:paraId="6BD130FB" w14:textId="3FEBF303" w:rsidR="000F00BE" w:rsidRDefault="00211B47" w:rsidP="00211B47">
      <w:r w:rsidRPr="007646EF">
        <w:rPr>
          <w:b/>
          <w:bCs/>
        </w:rPr>
        <w:t>Primary outcome</w:t>
      </w:r>
      <w:r>
        <w:t xml:space="preserve">: </w:t>
      </w:r>
      <w:r w:rsidR="00B36452">
        <w:t xml:space="preserve">Total number of </w:t>
      </w:r>
      <w:r w:rsidR="008F4F22">
        <w:t xml:space="preserve">MRPs at </w:t>
      </w:r>
      <w:r w:rsidR="008F4F22" w:rsidRPr="00B36452">
        <w:rPr>
          <w:u w:val="single"/>
        </w:rPr>
        <w:t>6-months</w:t>
      </w:r>
      <w:r w:rsidR="008F4F22">
        <w:t xml:space="preserve"> follow-up</w:t>
      </w:r>
      <w:r w:rsidR="00227D59">
        <w:t>.</w:t>
      </w:r>
      <w:r w:rsidR="00227D59" w:rsidRPr="00227D59">
        <w:t xml:space="preserve"> </w:t>
      </w:r>
      <w:r w:rsidR="00227D59">
        <w:t>Data on medication-related problems were collected from the participants by the research pharmacist (blinded to treatment allocation). These data were collected at baseline and at 3, 6, 9 and 12 months.</w:t>
      </w:r>
    </w:p>
    <w:p w14:paraId="0DF950C8" w14:textId="77777777" w:rsidR="00BC6F4C" w:rsidRDefault="00211B47" w:rsidP="00B3101F">
      <w:r w:rsidRPr="007646EF">
        <w:rPr>
          <w:b/>
          <w:bCs/>
        </w:rPr>
        <w:t>Secondary outcomes</w:t>
      </w:r>
      <w:r>
        <w:t xml:space="preserve">: </w:t>
      </w:r>
    </w:p>
    <w:p w14:paraId="15C1A7F3" w14:textId="0B3CE60D" w:rsidR="00E24D76" w:rsidRDefault="00BC6F4C" w:rsidP="00B3101F">
      <w:r w:rsidRPr="00BC6F4C">
        <w:rPr>
          <w:u w:val="single"/>
        </w:rPr>
        <w:t>MRPS</w:t>
      </w:r>
      <w:r>
        <w:t xml:space="preserve">: </w:t>
      </w:r>
      <w:r w:rsidR="00211B47">
        <w:t xml:space="preserve">Total number of </w:t>
      </w:r>
      <w:r w:rsidR="00B36452">
        <w:t>MRPs</w:t>
      </w:r>
      <w:r w:rsidR="00211B47">
        <w:t xml:space="preserve"> at 12 months</w:t>
      </w:r>
      <w:r w:rsidR="006F4426">
        <w:t>; and</w:t>
      </w:r>
      <w:r w:rsidR="008E05EE">
        <w:t xml:space="preserve"> </w:t>
      </w:r>
      <w:r w:rsidR="006F4426">
        <w:t>p</w:t>
      </w:r>
      <w:r w:rsidR="00BA04CB">
        <w:t>resence</w:t>
      </w:r>
      <w:r w:rsidR="00644840">
        <w:t>/</w:t>
      </w:r>
      <w:r w:rsidR="006F4426">
        <w:t>a</w:t>
      </w:r>
      <w:r w:rsidR="00644840">
        <w:t xml:space="preserve">bsence </w:t>
      </w:r>
      <w:r w:rsidR="00BA04CB">
        <w:t>of each of the 6 medication related problems (undertreatment; suboptimal dosing, duration, frequency or administration; need for medication monitoring; suboptimal drug; adverse drug event present; nonadherence)</w:t>
      </w:r>
      <w:r w:rsidR="003F3E45">
        <w:t xml:space="preserve"> at </w:t>
      </w:r>
      <w:r w:rsidR="003F3E45" w:rsidRPr="00B3101F">
        <w:rPr>
          <w:u w:val="single"/>
        </w:rPr>
        <w:t>6 months</w:t>
      </w:r>
      <w:r w:rsidR="003F3E45">
        <w:t xml:space="preserve"> and at </w:t>
      </w:r>
      <w:r w:rsidR="003F3E45" w:rsidRPr="00B3101F">
        <w:rPr>
          <w:u w:val="single"/>
        </w:rPr>
        <w:t>12 months</w:t>
      </w:r>
      <w:r w:rsidR="00BA04CB">
        <w:t xml:space="preserve">. </w:t>
      </w:r>
      <w:r w:rsidR="00644840">
        <w:t>These data were collected at baseline and at 3, 6, 9 and 12 months</w:t>
      </w:r>
      <w:r w:rsidR="007037F9">
        <w:t>.</w:t>
      </w:r>
      <w:r w:rsidR="00B3101F">
        <w:t xml:space="preserve"> </w:t>
      </w:r>
    </w:p>
    <w:p w14:paraId="4EADB924" w14:textId="6AFEEB38" w:rsidR="00211B47" w:rsidRDefault="00B3101F">
      <w:r w:rsidRPr="00E24D76">
        <w:rPr>
          <w:u w:val="single"/>
        </w:rPr>
        <w:t>Time to first health services utilization</w:t>
      </w:r>
      <w:r>
        <w:t xml:space="preserve"> (i.e., hospitalization, ED visit)</w:t>
      </w:r>
      <w:r w:rsidR="00E24D76">
        <w:t xml:space="preserve"> over </w:t>
      </w:r>
      <w:proofErr w:type="gramStart"/>
      <w:r w:rsidR="00E24D76">
        <w:t>12</w:t>
      </w:r>
      <w:proofErr w:type="gramEnd"/>
      <w:r w:rsidR="00E24D76">
        <w:t>-month study period</w:t>
      </w:r>
      <w:r>
        <w:t>. These data were extracted from the electronic health record. Participants were administratively censored at 12 months of follow-up.</w:t>
      </w:r>
    </w:p>
    <w:p w14:paraId="0AE2B774" w14:textId="5B4D49CA" w:rsidR="007646EF" w:rsidRDefault="007646EF">
      <w:r>
        <w:rPr>
          <w:b/>
          <w:bCs/>
        </w:rPr>
        <w:t>Additional Variables</w:t>
      </w:r>
      <w:r>
        <w:t xml:space="preserve">: In addition to treatment, race and site, the following covariates were collected at baseline: age, </w:t>
      </w:r>
      <w:r w:rsidR="00F16F36">
        <w:t xml:space="preserve">biological sex, </w:t>
      </w:r>
      <w:r>
        <w:t>total number of medications, total number of prescription medications,</w:t>
      </w:r>
      <w:r w:rsidR="009443C6">
        <w:t xml:space="preserve"> number of</w:t>
      </w:r>
      <w:r>
        <w:t xml:space="preserve"> health care utilization</w:t>
      </w:r>
      <w:r w:rsidR="009443C6">
        <w:t>s</w:t>
      </w:r>
      <w:r>
        <w:t xml:space="preserve"> in the prior year, </w:t>
      </w:r>
      <w:r w:rsidR="005F43BC">
        <w:t xml:space="preserve">and </w:t>
      </w:r>
      <w:r>
        <w:t>number of co-morbid conditions</w:t>
      </w:r>
      <w:r w:rsidR="009443C6">
        <w:t>. If a participant</w:t>
      </w:r>
      <w:r w:rsidR="0035645A">
        <w:t xml:space="preserve"> </w:t>
      </w:r>
      <w:r w:rsidR="009443C6">
        <w:t xml:space="preserve">died over the course of the 12-month follow up, this was </w:t>
      </w:r>
      <w:r w:rsidR="009D3880">
        <w:t>recorded,</w:t>
      </w:r>
      <w:r w:rsidR="00F16F36">
        <w:t xml:space="preserve"> and they were censored at the time of death.</w:t>
      </w:r>
    </w:p>
    <w:p w14:paraId="347D34CF" w14:textId="286E5276" w:rsidR="009905CB" w:rsidRDefault="00211B47">
      <w:r w:rsidRPr="00CD1EED">
        <w:rPr>
          <w:b/>
          <w:bCs/>
        </w:rPr>
        <w:t>Sample size</w:t>
      </w:r>
      <w:r w:rsidR="00CD1EED">
        <w:t xml:space="preserve"> was </w:t>
      </w:r>
      <w:r w:rsidR="00383264">
        <w:t>estimated for the primary outcome of</w:t>
      </w:r>
      <w:r w:rsidR="009905CB">
        <w:t xml:space="preserve"> total </w:t>
      </w:r>
      <w:r w:rsidR="001E16AA">
        <w:t xml:space="preserve">number of </w:t>
      </w:r>
      <w:r w:rsidR="009905CB">
        <w:t>MRPs at 6-months using a two-sample t-test</w:t>
      </w:r>
      <w:r w:rsidR="00C1093F">
        <w:t xml:space="preserve"> since information on the correlation of measurements over time was unknown at the time the study was designed. </w:t>
      </w:r>
      <w:r w:rsidR="00B32491">
        <w:t>It was estimate</w:t>
      </w:r>
      <w:r w:rsidR="00856062">
        <w:t>d</w:t>
      </w:r>
      <w:r w:rsidR="00B32491">
        <w:t xml:space="preserve"> that a total sample size of 210 (105 per treatment arm) would be needed to detect a clinically meaningful difference of 1 MRP </w:t>
      </w:r>
      <w:r w:rsidR="00AB3770">
        <w:t xml:space="preserve">between the </w:t>
      </w:r>
      <w:proofErr w:type="spellStart"/>
      <w:r w:rsidR="00AB3770" w:rsidRPr="001E16AA">
        <w:rPr>
          <w:i/>
          <w:iCs/>
        </w:rPr>
        <w:t>i</w:t>
      </w:r>
      <w:r w:rsidR="00AB3770">
        <w:t>MAP</w:t>
      </w:r>
      <w:proofErr w:type="spellEnd"/>
      <w:r w:rsidR="00AB3770">
        <w:t xml:space="preserve"> and SOC arms with 90% power, a type I error rate (two-sided) of 0.05</w:t>
      </w:r>
      <w:r w:rsidR="00856062">
        <w:t>, a standard deviation of 2.1 in both groups</w:t>
      </w:r>
      <w:r w:rsidR="00C95A1F">
        <w:t>,</w:t>
      </w:r>
      <w:r w:rsidR="00AB3770">
        <w:t xml:space="preserve"> and </w:t>
      </w:r>
      <w:proofErr w:type="spellStart"/>
      <w:proofErr w:type="gramStart"/>
      <w:r w:rsidR="00AB3770">
        <w:t>a</w:t>
      </w:r>
      <w:proofErr w:type="spellEnd"/>
      <w:proofErr w:type="gramEnd"/>
      <w:r w:rsidR="00AB3770">
        <w:t xml:space="preserve"> </w:t>
      </w:r>
      <w:r w:rsidR="001E16AA">
        <w:t>expected loss rate of 10% at 6-months.</w:t>
      </w:r>
    </w:p>
    <w:p w14:paraId="60EED868" w14:textId="682109FC" w:rsidR="00883628" w:rsidRDefault="00883628">
      <w:pPr>
        <w:rPr>
          <w:b/>
          <w:bCs/>
        </w:rPr>
      </w:pPr>
      <w:r>
        <w:lastRenderedPageBreak/>
        <w:t xml:space="preserve">All data that </w:t>
      </w:r>
      <w:proofErr w:type="gramStart"/>
      <w:r>
        <w:t>were</w:t>
      </w:r>
      <w:proofErr w:type="gramEnd"/>
      <w:r>
        <w:t xml:space="preserve"> collected during the study</w:t>
      </w:r>
      <w:r w:rsidR="008707BF">
        <w:t xml:space="preserve"> can</w:t>
      </w:r>
      <w:r>
        <w:t xml:space="preserve"> </w:t>
      </w:r>
      <w:r w:rsidR="009D3880">
        <w:t>be found in</w:t>
      </w:r>
      <w:r w:rsidR="00153499">
        <w:t xml:space="preserve"> the following file:</w:t>
      </w:r>
      <w:r w:rsidR="009D3880">
        <w:t xml:space="preserve"> </w:t>
      </w:r>
      <w:r w:rsidR="00153499" w:rsidRPr="00153499">
        <w:rPr>
          <w:b/>
          <w:bCs/>
        </w:rPr>
        <w:t>iMAP_Final_Data.csv</w:t>
      </w:r>
      <w:r w:rsidR="00153499">
        <w:rPr>
          <w:b/>
          <w:bCs/>
        </w:rPr>
        <w:t>.</w:t>
      </w:r>
    </w:p>
    <w:p w14:paraId="52D64400" w14:textId="252A06BB" w:rsidR="00153499" w:rsidRDefault="00153499">
      <w:r>
        <w:t>This file contains the following variables</w:t>
      </w:r>
      <w:r w:rsidR="00B97D6A">
        <w:t>, where NA=missing</w:t>
      </w:r>
      <w:r>
        <w:t>:</w:t>
      </w:r>
    </w:p>
    <w:tbl>
      <w:tblPr>
        <w:tblW w:w="8272" w:type="dxa"/>
        <w:tblLook w:val="04A0" w:firstRow="1" w:lastRow="0" w:firstColumn="1" w:lastColumn="0" w:noHBand="0" w:noVBand="1"/>
      </w:tblPr>
      <w:tblGrid>
        <w:gridCol w:w="1832"/>
        <w:gridCol w:w="6440"/>
      </w:tblGrid>
      <w:tr w:rsidR="00153499" w:rsidRPr="00153499" w14:paraId="34F9FCF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1148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499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F364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49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153499" w:rsidRPr="00153499" w14:paraId="4A1BAE5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C3E6" w14:textId="09729FCA" w:rsidR="00153499" w:rsidRPr="00153499" w:rsidRDefault="00383264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I</w:t>
            </w:r>
            <w:r w:rsidR="00FF1837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5A6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Participant ID</w:t>
            </w:r>
          </w:p>
        </w:tc>
      </w:tr>
      <w:tr w:rsidR="00153499" w:rsidRPr="00153499" w14:paraId="3001C91F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8B15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71CF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Age at enrollment</w:t>
            </w:r>
          </w:p>
        </w:tc>
      </w:tr>
      <w:tr w:rsidR="00153499" w:rsidRPr="00153499" w14:paraId="49F2A94E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992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Conditions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81AE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Number of co-morbid conditions at baseline</w:t>
            </w:r>
          </w:p>
        </w:tc>
      </w:tr>
      <w:tr w:rsidR="00153499" w:rsidRPr="00153499" w14:paraId="79376D3E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FEE8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3499">
              <w:rPr>
                <w:rFonts w:ascii="Calibri" w:eastAsia="Times New Roman" w:hAnsi="Calibri" w:cs="Calibri"/>
                <w:color w:val="000000"/>
              </w:rPr>
              <w:t>Total_Meds</w:t>
            </w:r>
            <w:proofErr w:type="spellEnd"/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07DC" w14:textId="62F421A6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Total number of medicat</w:t>
            </w:r>
            <w:r w:rsidR="00EF372D">
              <w:rPr>
                <w:rFonts w:ascii="Calibri" w:eastAsia="Times New Roman" w:hAnsi="Calibri" w:cs="Calibri"/>
                <w:color w:val="000000"/>
              </w:rPr>
              <w:t>i</w:t>
            </w:r>
            <w:r w:rsidRPr="00153499">
              <w:rPr>
                <w:rFonts w:ascii="Calibri" w:eastAsia="Times New Roman" w:hAnsi="Calibri" w:cs="Calibri"/>
                <w:color w:val="000000"/>
              </w:rPr>
              <w:t>ons at baseline</w:t>
            </w:r>
          </w:p>
        </w:tc>
      </w:tr>
      <w:tr w:rsidR="00153499" w:rsidRPr="00153499" w14:paraId="630E0FC2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A0F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3499">
              <w:rPr>
                <w:rFonts w:ascii="Calibri" w:eastAsia="Times New Roman" w:hAnsi="Calibri" w:cs="Calibri"/>
                <w:color w:val="000000"/>
              </w:rPr>
              <w:t>Presc_Meds</w:t>
            </w:r>
            <w:proofErr w:type="spellEnd"/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5914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Total number of prescription medications at baseline</w:t>
            </w:r>
          </w:p>
        </w:tc>
      </w:tr>
      <w:tr w:rsidR="00153499" w:rsidRPr="00153499" w14:paraId="65FF5801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7DC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3499">
              <w:rPr>
                <w:rFonts w:ascii="Calibri" w:eastAsia="Times New Roman" w:hAnsi="Calibri" w:cs="Calibri"/>
                <w:color w:val="000000"/>
              </w:rPr>
              <w:t>Health_Utilization</w:t>
            </w:r>
            <w:proofErr w:type="spellEnd"/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295C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Total number of health care utilizations in year prior to enrollment</w:t>
            </w:r>
          </w:p>
        </w:tc>
      </w:tr>
      <w:tr w:rsidR="00153499" w:rsidRPr="00153499" w14:paraId="1DDE7A54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174D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status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EE5" w14:textId="51134B68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Censoring indicator (0=censored</w:t>
            </w:r>
            <w:r w:rsidR="00B97D6A">
              <w:rPr>
                <w:rFonts w:ascii="Calibri" w:eastAsia="Times New Roman" w:hAnsi="Calibri" w:cs="Calibri"/>
                <w:color w:val="000000"/>
              </w:rPr>
              <w:t>; 1= utilization</w:t>
            </w:r>
            <w:r w:rsidRPr="0015349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153499" w:rsidRPr="00153499" w14:paraId="4F196378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B8C3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F48" w14:textId="53FBA6F4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Death indicator (1=death</w:t>
            </w:r>
            <w:r w:rsidR="00B97D6A">
              <w:rPr>
                <w:rFonts w:ascii="Calibri" w:eastAsia="Times New Roman" w:hAnsi="Calibri" w:cs="Calibri"/>
                <w:color w:val="000000"/>
              </w:rPr>
              <w:t>; 0=alive</w:t>
            </w:r>
            <w:r w:rsidRPr="0015349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153499" w:rsidRPr="00153499" w14:paraId="6CDD4D85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C53E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MRP_0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9C69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Baseline number of medication related problems</w:t>
            </w:r>
          </w:p>
        </w:tc>
      </w:tr>
      <w:tr w:rsidR="00153499" w:rsidRPr="00153499" w14:paraId="00A8A4C1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DE4F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MRP_3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1AE6" w14:textId="23280F4E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3</w:t>
            </w:r>
            <w:r w:rsidR="00EF372D">
              <w:rPr>
                <w:rFonts w:ascii="Calibri" w:eastAsia="Times New Roman" w:hAnsi="Calibri" w:cs="Calibri"/>
                <w:color w:val="000000"/>
              </w:rPr>
              <w:t>-</w:t>
            </w:r>
            <w:r w:rsidRPr="00153499">
              <w:rPr>
                <w:rFonts w:ascii="Calibri" w:eastAsia="Times New Roman" w:hAnsi="Calibri" w:cs="Calibri"/>
                <w:color w:val="000000"/>
              </w:rPr>
              <w:t>month number of medication related problems</w:t>
            </w:r>
          </w:p>
        </w:tc>
      </w:tr>
      <w:tr w:rsidR="00153499" w:rsidRPr="00153499" w14:paraId="54AB5B5C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2BC2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MRP_6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970C" w14:textId="74FAE4C9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6</w:t>
            </w:r>
            <w:r w:rsidR="00EF372D">
              <w:rPr>
                <w:rFonts w:ascii="Calibri" w:eastAsia="Times New Roman" w:hAnsi="Calibri" w:cs="Calibri"/>
                <w:color w:val="000000"/>
              </w:rPr>
              <w:t>-</w:t>
            </w:r>
            <w:r w:rsidRPr="00153499">
              <w:rPr>
                <w:rFonts w:ascii="Calibri" w:eastAsia="Times New Roman" w:hAnsi="Calibri" w:cs="Calibri"/>
                <w:color w:val="000000"/>
              </w:rPr>
              <w:t>month number of medication related problems</w:t>
            </w:r>
          </w:p>
        </w:tc>
      </w:tr>
      <w:tr w:rsidR="00153499" w:rsidRPr="00153499" w14:paraId="59F5633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B482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MRP_9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C222" w14:textId="5827EA28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9</w:t>
            </w:r>
            <w:r w:rsidR="00EF372D">
              <w:rPr>
                <w:rFonts w:ascii="Calibri" w:eastAsia="Times New Roman" w:hAnsi="Calibri" w:cs="Calibri"/>
                <w:color w:val="000000"/>
              </w:rPr>
              <w:t>-</w:t>
            </w:r>
            <w:r w:rsidRPr="00153499">
              <w:rPr>
                <w:rFonts w:ascii="Calibri" w:eastAsia="Times New Roman" w:hAnsi="Calibri" w:cs="Calibri"/>
                <w:color w:val="000000"/>
              </w:rPr>
              <w:t>month number of medication related problems</w:t>
            </w:r>
          </w:p>
        </w:tc>
      </w:tr>
      <w:tr w:rsidR="00153499" w:rsidRPr="00153499" w14:paraId="411C083A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74FE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MRP_12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978" w14:textId="01084C9A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12</w:t>
            </w:r>
            <w:r w:rsidR="00EF372D">
              <w:rPr>
                <w:rFonts w:ascii="Calibri" w:eastAsia="Times New Roman" w:hAnsi="Calibri" w:cs="Calibri"/>
                <w:color w:val="000000"/>
              </w:rPr>
              <w:t>-</w:t>
            </w:r>
            <w:r w:rsidRPr="00153499">
              <w:rPr>
                <w:rFonts w:ascii="Calibri" w:eastAsia="Times New Roman" w:hAnsi="Calibri" w:cs="Calibri"/>
                <w:color w:val="000000"/>
              </w:rPr>
              <w:t>month number of medication related problems</w:t>
            </w:r>
          </w:p>
        </w:tc>
      </w:tr>
      <w:tr w:rsidR="00153499" w:rsidRPr="00153499" w14:paraId="6C6D56A5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656B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3499">
              <w:rPr>
                <w:rFonts w:ascii="Calibri" w:eastAsia="Times New Roman" w:hAnsi="Calibri" w:cs="Calibri"/>
                <w:color w:val="000000"/>
              </w:rPr>
              <w:t>Enroll_date</w:t>
            </w:r>
            <w:proofErr w:type="spellEnd"/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D98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 xml:space="preserve">Date of enrollment </w:t>
            </w:r>
          </w:p>
        </w:tc>
      </w:tr>
      <w:tr w:rsidR="00153499" w:rsidRPr="00153499" w14:paraId="2CE651B8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DD78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Utilization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233B" w14:textId="0BBDA76B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 xml:space="preserve">Date of first utilization, death or date </w:t>
            </w:r>
            <w:r w:rsidR="00EF372D">
              <w:rPr>
                <w:rFonts w:ascii="Calibri" w:eastAsia="Times New Roman" w:hAnsi="Calibri" w:cs="Calibri"/>
                <w:color w:val="000000"/>
              </w:rPr>
              <w:t>censored</w:t>
            </w:r>
          </w:p>
        </w:tc>
      </w:tr>
      <w:tr w:rsidR="00153499" w:rsidRPr="00153499" w14:paraId="111BA7F0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E08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race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8BF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Race of the participant</w:t>
            </w:r>
          </w:p>
        </w:tc>
      </w:tr>
      <w:tr w:rsidR="00153499" w:rsidRPr="00153499" w14:paraId="000428AB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5FC7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Treatment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3AF9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Treatment Indicator</w:t>
            </w:r>
          </w:p>
        </w:tc>
      </w:tr>
      <w:tr w:rsidR="00153499" w:rsidRPr="00153499" w14:paraId="07E7C1D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E32A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site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132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Site ID, identifies Site</w:t>
            </w:r>
          </w:p>
        </w:tc>
      </w:tr>
      <w:tr w:rsidR="00153499" w:rsidRPr="00153499" w14:paraId="6B9FF8B6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7A24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3A6" w14:textId="77777777" w:rsidR="00153499" w:rsidRPr="00153499" w:rsidRDefault="00153499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499">
              <w:rPr>
                <w:rFonts w:ascii="Calibri" w:eastAsia="Times New Roman" w:hAnsi="Calibri" w:cs="Calibri"/>
                <w:color w:val="000000"/>
              </w:rPr>
              <w:t>Biological Sex of participant</w:t>
            </w:r>
          </w:p>
        </w:tc>
      </w:tr>
      <w:tr w:rsidR="006723F2" w:rsidRPr="00153499" w14:paraId="0B76BCC7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D5C6" w14:textId="1E178B43" w:rsidR="006723F2" w:rsidRPr="00153499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Undertreat_0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0D922" w14:textId="069F7CBB" w:rsidR="006723F2" w:rsidRPr="00153499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Undertreatment at Baseline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6723F2" w:rsidRPr="00153499" w14:paraId="4B6DC60D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39C53" w14:textId="183FF66C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Undertreat_3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06C7" w14:textId="2AB68C6B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Undertreatment at 3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</w:t>
            </w:r>
            <w:r w:rsidR="008069CA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6723F2" w:rsidRPr="00153499" w14:paraId="11021879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BDCB" w14:textId="54565E65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Undertreat_6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8195E" w14:textId="38359E7E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Undertreatment at 6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6723F2" w:rsidRPr="00153499" w14:paraId="52416B44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5DB5" w14:textId="13B92882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Undertreat_9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0EC2F" w14:textId="7C0E1565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Undertreatment at 9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6723F2" w:rsidRPr="00153499" w14:paraId="57E0240C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498A7" w14:textId="2C3E5B45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Undertreat_12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2B89" w14:textId="4357CACA" w:rsidR="006723F2" w:rsidRDefault="006723F2" w:rsidP="001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Undertreatment at 12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70727C42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D7BC" w14:textId="3B5931C1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Sub_dose_0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1884" w14:textId="1A0B6E0B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S</w:t>
            </w:r>
            <w:r>
              <w:t>uboptimal dosing, duration, frequency or administration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Baseline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606F04B5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EC2A4" w14:textId="69C0D851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Sub_dose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DD55B" w14:textId="43895A7D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S</w:t>
            </w:r>
            <w:r>
              <w:t>uboptimal dosing, duration, frequency or administration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3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1F4F0199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83D7" w14:textId="0B706945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Sub_dose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2A6A0" w14:textId="0761339F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S</w:t>
            </w:r>
            <w:r>
              <w:t>uboptimal dosing, duration, frequency or administration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6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36F560E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0E318" w14:textId="2D293B72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Sub_dose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C6A4" w14:textId="370615CE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S</w:t>
            </w:r>
            <w:r>
              <w:t>uboptimal dosing, duration, frequency or administration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9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6080B04E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41304" w14:textId="7AEC8E79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Sub_dose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5160" w14:textId="7F7F5EC4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Presence of S</w:t>
            </w:r>
            <w:r>
              <w:t>uboptimal dosing, duration, frequency or administration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12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70C103A6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47730" w14:textId="5A55E067" w:rsidR="00987053" w:rsidRDefault="005353C4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Med_Mon</w:t>
            </w:r>
            <w:r w:rsidR="00987053">
              <w:rPr>
                <w:rFonts w:ascii="Calibri" w:eastAsia="Times New Roman" w:hAnsi="Calibri" w:cs="Calibri"/>
                <w:color w:val="000000"/>
              </w:rPr>
              <w:t>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58B5" w14:textId="54638AB9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5F5689">
              <w:rPr>
                <w:rFonts w:ascii="Calibri" w:eastAsia="Times New Roman" w:hAnsi="Calibri" w:cs="Calibri"/>
                <w:color w:val="000000"/>
              </w:rPr>
              <w:t>Need for Medication Monitoring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Baseline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30F28068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F7722" w14:textId="32CB0FD1" w:rsidR="00987053" w:rsidRDefault="005353C4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Med_Mon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2E64" w14:textId="09CDCF6D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5F5689">
              <w:rPr>
                <w:rFonts w:ascii="Calibri" w:eastAsia="Times New Roman" w:hAnsi="Calibri" w:cs="Calibri"/>
                <w:color w:val="000000"/>
              </w:rPr>
              <w:t>Need for Medication Monitoring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3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6F9E502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4481" w14:textId="0C912671" w:rsidR="00987053" w:rsidRDefault="005353C4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Med_Mon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D033" w14:textId="379B3182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5F5689">
              <w:rPr>
                <w:rFonts w:ascii="Calibri" w:eastAsia="Times New Roman" w:hAnsi="Calibri" w:cs="Calibri"/>
                <w:color w:val="000000"/>
              </w:rPr>
              <w:t>Need for Medication Monitoring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6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1A157F91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05AD" w14:textId="0ED3A92E" w:rsidR="00987053" w:rsidRDefault="005353C4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lastRenderedPageBreak/>
              <w:t>Med_Mon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A2B" w14:textId="57C728CF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5F5689">
              <w:rPr>
                <w:rFonts w:ascii="Calibri" w:eastAsia="Times New Roman" w:hAnsi="Calibri" w:cs="Calibri"/>
                <w:color w:val="000000"/>
              </w:rPr>
              <w:t>Need for Medication Monitoring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9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4CDEFDC4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31B95" w14:textId="4908AF15" w:rsidR="00987053" w:rsidRDefault="005353C4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Med_Mon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CB24" w14:textId="0E756C36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5F5689">
              <w:rPr>
                <w:rFonts w:ascii="Calibri" w:eastAsia="Times New Roman" w:hAnsi="Calibri" w:cs="Calibri"/>
                <w:color w:val="000000"/>
              </w:rPr>
              <w:t>Need for Medication Monitoring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12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018FCD52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D57D" w14:textId="0EE85792" w:rsidR="00987053" w:rsidRDefault="006143C5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Sub_drug</w:t>
            </w:r>
            <w:r w:rsidR="00987053">
              <w:rPr>
                <w:rFonts w:ascii="Calibri" w:eastAsia="Times New Roman" w:hAnsi="Calibri" w:cs="Calibri"/>
                <w:color w:val="000000"/>
              </w:rPr>
              <w:t>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317AA" w14:textId="49C51362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6143C5">
              <w:rPr>
                <w:rFonts w:ascii="Calibri" w:eastAsia="Times New Roman" w:hAnsi="Calibri" w:cs="Calibri"/>
                <w:color w:val="000000"/>
              </w:rPr>
              <w:t>S</w:t>
            </w:r>
            <w:r w:rsidR="006143C5">
              <w:t>uboptimal drug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Baseline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388F0DD0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1325D" w14:textId="73013C95" w:rsidR="00987053" w:rsidRDefault="006143C5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Sub_drug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1BA2" w14:textId="2885602F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6143C5">
              <w:rPr>
                <w:rFonts w:ascii="Calibri" w:eastAsia="Times New Roman" w:hAnsi="Calibri" w:cs="Calibri"/>
                <w:color w:val="000000"/>
              </w:rPr>
              <w:t>S</w:t>
            </w:r>
            <w:r w:rsidR="006143C5">
              <w:t>uboptimal drug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3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4D3C12B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BFA0" w14:textId="6874FB8B" w:rsidR="00987053" w:rsidRDefault="006143C5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Sub_drug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94187" w14:textId="1FC7ACCA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6143C5">
              <w:rPr>
                <w:rFonts w:ascii="Calibri" w:eastAsia="Times New Roman" w:hAnsi="Calibri" w:cs="Calibri"/>
                <w:color w:val="000000"/>
              </w:rPr>
              <w:t>S</w:t>
            </w:r>
            <w:r w:rsidR="006143C5">
              <w:t>uboptimal drug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6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1C50F91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3C383" w14:textId="35B37F21" w:rsidR="00987053" w:rsidRDefault="006143C5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Sub_drug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069BC" w14:textId="4A3C8053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6143C5">
              <w:rPr>
                <w:rFonts w:ascii="Calibri" w:eastAsia="Times New Roman" w:hAnsi="Calibri" w:cs="Calibri"/>
                <w:color w:val="000000"/>
              </w:rPr>
              <w:t>S</w:t>
            </w:r>
            <w:r w:rsidR="006143C5">
              <w:t>uboptimal drug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9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BAA5A78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6AEA" w14:textId="58A01EAA" w:rsidR="00987053" w:rsidRDefault="006143C5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Sub_drug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E55B3" w14:textId="0E13B9CF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6143C5">
              <w:rPr>
                <w:rFonts w:ascii="Calibri" w:eastAsia="Times New Roman" w:hAnsi="Calibri" w:cs="Calibri"/>
                <w:color w:val="000000"/>
              </w:rPr>
              <w:t>S</w:t>
            </w:r>
            <w:r w:rsidR="006143C5">
              <w:t>uboptimal drug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12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57FA5B42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09C9" w14:textId="5A7D7E53" w:rsidR="00987053" w:rsidRDefault="00CF37B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</w:t>
            </w:r>
            <w:r w:rsidR="00987053">
              <w:rPr>
                <w:rFonts w:ascii="Calibri" w:eastAsia="Times New Roman" w:hAnsi="Calibri" w:cs="Calibri"/>
                <w:color w:val="000000"/>
              </w:rPr>
              <w:t>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D38D6" w14:textId="25CC02E2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CF37B3">
              <w:rPr>
                <w:rFonts w:ascii="Calibri" w:eastAsia="Times New Roman" w:hAnsi="Calibri" w:cs="Calibri"/>
                <w:color w:val="000000"/>
              </w:rPr>
              <w:t>A</w:t>
            </w:r>
            <w:r w:rsidR="00CF37B3">
              <w:t>dverse drug event present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Baseline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28AB725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932A9" w14:textId="0F919A48" w:rsidR="00987053" w:rsidRDefault="00CF37B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</w:t>
            </w:r>
            <w:r w:rsidR="00987053">
              <w:rPr>
                <w:rFonts w:ascii="Calibri" w:eastAsia="Times New Roman" w:hAnsi="Calibri" w:cs="Calibri"/>
                <w:color w:val="000000"/>
              </w:rPr>
              <w:t>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94FE5" w14:textId="1E9752EC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CF37B3">
              <w:rPr>
                <w:rFonts w:ascii="Calibri" w:eastAsia="Times New Roman" w:hAnsi="Calibri" w:cs="Calibri"/>
                <w:color w:val="000000"/>
              </w:rPr>
              <w:t>A</w:t>
            </w:r>
            <w:r w:rsidR="00CF37B3">
              <w:t>dverse drug event present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3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911491F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7BDF7" w14:textId="1347EE6C" w:rsidR="00987053" w:rsidRDefault="00CF37B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</w:t>
            </w:r>
            <w:r w:rsidR="00987053">
              <w:rPr>
                <w:rFonts w:ascii="Calibri" w:eastAsia="Times New Roman" w:hAnsi="Calibri" w:cs="Calibri"/>
                <w:color w:val="000000"/>
              </w:rPr>
              <w:t>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FA6DE" w14:textId="2E54F1C4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CF37B3">
              <w:rPr>
                <w:rFonts w:ascii="Calibri" w:eastAsia="Times New Roman" w:hAnsi="Calibri" w:cs="Calibri"/>
                <w:color w:val="000000"/>
              </w:rPr>
              <w:t>A</w:t>
            </w:r>
            <w:r w:rsidR="00CF37B3">
              <w:t>dverse drug event present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6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35E5AF4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EBE4" w14:textId="03D62B4A" w:rsidR="00987053" w:rsidRDefault="00CF37B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</w:t>
            </w:r>
            <w:r w:rsidR="00987053">
              <w:rPr>
                <w:rFonts w:ascii="Calibri" w:eastAsia="Times New Roman" w:hAnsi="Calibri" w:cs="Calibri"/>
                <w:color w:val="000000"/>
              </w:rPr>
              <w:t>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5FEB" w14:textId="0BCBB15E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CF37B3">
              <w:rPr>
                <w:rFonts w:ascii="Calibri" w:eastAsia="Times New Roman" w:hAnsi="Calibri" w:cs="Calibri"/>
                <w:color w:val="000000"/>
              </w:rPr>
              <w:t>A</w:t>
            </w:r>
            <w:r w:rsidR="00CF37B3">
              <w:t>dverse drug event present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9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389CD914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62C38" w14:textId="014DBC91" w:rsidR="00987053" w:rsidRDefault="00CF37B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AE</w:t>
            </w:r>
            <w:r w:rsidR="00987053">
              <w:rPr>
                <w:rFonts w:ascii="Calibri" w:eastAsia="Times New Roman" w:hAnsi="Calibri" w:cs="Calibri"/>
                <w:color w:val="000000"/>
              </w:rPr>
              <w:t>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B5948" w14:textId="2060095D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CF37B3">
              <w:rPr>
                <w:rFonts w:ascii="Calibri" w:eastAsia="Times New Roman" w:hAnsi="Calibri" w:cs="Calibri"/>
                <w:color w:val="000000"/>
              </w:rPr>
              <w:t>A</w:t>
            </w:r>
            <w:r w:rsidR="00CF37B3">
              <w:t>dverse drug event present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12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67FEC01D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B0B1" w14:textId="522C4FE1" w:rsidR="00987053" w:rsidRDefault="00F02D8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NonAd</w:t>
            </w:r>
            <w:r w:rsidR="00987053">
              <w:rPr>
                <w:rFonts w:ascii="Calibri" w:eastAsia="Times New Roman" w:hAnsi="Calibri" w:cs="Calibri"/>
                <w:color w:val="000000"/>
              </w:rPr>
              <w:t>_0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8171" w14:textId="58FD048F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F02D83">
              <w:rPr>
                <w:rFonts w:ascii="Calibri" w:eastAsia="Times New Roman" w:hAnsi="Calibri" w:cs="Calibri"/>
                <w:color w:val="000000"/>
              </w:rPr>
              <w:t>Nonadherence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at Baseline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1CF22C48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56C1A" w14:textId="2BC25D63" w:rsidR="00987053" w:rsidRDefault="00F02D8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NonAd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_3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FE21" w14:textId="7DA4CC6B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F02D83">
              <w:rPr>
                <w:rFonts w:ascii="Calibri" w:eastAsia="Times New Roman" w:hAnsi="Calibri" w:cs="Calibri"/>
                <w:color w:val="000000"/>
              </w:rPr>
              <w:t xml:space="preserve">Nonadherence </w:t>
            </w:r>
            <w:r>
              <w:rPr>
                <w:rFonts w:ascii="Calibri" w:eastAsia="Times New Roman" w:hAnsi="Calibri" w:cs="Calibri"/>
                <w:color w:val="000000"/>
              </w:rPr>
              <w:t>at 3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4BE981A7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683F" w14:textId="6187F229" w:rsidR="00987053" w:rsidRDefault="00F02D8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NonAd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_6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FC7A" w14:textId="36432958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F02D83">
              <w:rPr>
                <w:rFonts w:ascii="Calibri" w:eastAsia="Times New Roman" w:hAnsi="Calibri" w:cs="Calibri"/>
                <w:color w:val="000000"/>
              </w:rPr>
              <w:t xml:space="preserve">Nonadherence </w:t>
            </w:r>
            <w:r>
              <w:rPr>
                <w:rFonts w:ascii="Calibri" w:eastAsia="Times New Roman" w:hAnsi="Calibri" w:cs="Calibri"/>
                <w:color w:val="000000"/>
              </w:rPr>
              <w:t>at 6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2BFAE173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F0E8A" w14:textId="16180B2D" w:rsidR="00987053" w:rsidRDefault="00F02D8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NonAd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_9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7E82" w14:textId="4995F434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F02D83">
              <w:rPr>
                <w:rFonts w:ascii="Calibri" w:eastAsia="Times New Roman" w:hAnsi="Calibri" w:cs="Calibri"/>
                <w:color w:val="000000"/>
              </w:rPr>
              <w:t xml:space="preserve">Nonadherence </w:t>
            </w:r>
            <w:r>
              <w:rPr>
                <w:rFonts w:ascii="Calibri" w:eastAsia="Times New Roman" w:hAnsi="Calibri" w:cs="Calibri"/>
                <w:color w:val="000000"/>
              </w:rPr>
              <w:t>at 9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  <w:tr w:rsidR="00987053" w:rsidRPr="00153499" w14:paraId="3A4D32EF" w14:textId="77777777" w:rsidTr="00987053">
        <w:trPr>
          <w:trHeight w:val="3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84B1" w14:textId="5A7D9DED" w:rsidR="00987053" w:rsidRDefault="00F02D8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NonAd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87053">
              <w:rPr>
                <w:rFonts w:ascii="Calibri" w:eastAsia="Times New Roman" w:hAnsi="Calibri" w:cs="Calibri"/>
                <w:color w:val="000000"/>
              </w:rPr>
              <w:t>_12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64620" w14:textId="18C64390" w:rsidR="00987053" w:rsidRDefault="00987053" w:rsidP="0098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Presence of </w:t>
            </w:r>
            <w:r w:rsidR="00F02D83">
              <w:rPr>
                <w:rFonts w:ascii="Calibri" w:eastAsia="Times New Roman" w:hAnsi="Calibri" w:cs="Calibri"/>
                <w:color w:val="000000"/>
              </w:rPr>
              <w:t xml:space="preserve">Nonadherence </w:t>
            </w:r>
            <w:r>
              <w:rPr>
                <w:rFonts w:ascii="Calibri" w:eastAsia="Times New Roman" w:hAnsi="Calibri" w:cs="Calibri"/>
                <w:color w:val="000000"/>
              </w:rPr>
              <w:t>at 12 months (</w:t>
            </w:r>
            <w:r w:rsidR="00847FEB">
              <w:rPr>
                <w:rFonts w:ascii="Calibri" w:eastAsia="Times New Roman" w:hAnsi="Calibri" w:cs="Calibri"/>
                <w:color w:val="000000"/>
              </w:rPr>
              <w:t>TRUE</w:t>
            </w:r>
            <w:r>
              <w:rPr>
                <w:rFonts w:ascii="Calibri" w:eastAsia="Times New Roman" w:hAnsi="Calibri" w:cs="Calibri"/>
                <w:color w:val="000000"/>
              </w:rPr>
              <w:t>=Present)</w:t>
            </w:r>
          </w:p>
        </w:tc>
      </w:tr>
    </w:tbl>
    <w:p w14:paraId="487D9129" w14:textId="43967FE7" w:rsidR="00153499" w:rsidRDefault="00153499"/>
    <w:p w14:paraId="5555CAA5" w14:textId="71B6D857" w:rsidR="005E1619" w:rsidRDefault="00E513C3">
      <w:r>
        <w:rPr>
          <w:b/>
          <w:bCs/>
        </w:rPr>
        <w:t>The goal of the study was to determine</w:t>
      </w:r>
      <w:r w:rsidR="008707BF">
        <w:t xml:space="preserve"> </w:t>
      </w:r>
      <w:r w:rsidR="006E54FE" w:rsidRPr="00E513C3">
        <w:rPr>
          <w:b/>
          <w:bCs/>
        </w:rPr>
        <w:t>whether</w:t>
      </w:r>
      <w:r w:rsidR="005E1619">
        <w:t>:</w:t>
      </w:r>
    </w:p>
    <w:p w14:paraId="3D159ABB" w14:textId="469BB0BA" w:rsidR="00FC43E4" w:rsidRDefault="005E1619" w:rsidP="00DC632A">
      <w:pPr>
        <w:pStyle w:val="ListParagraph"/>
        <w:numPr>
          <w:ilvl w:val="0"/>
          <w:numId w:val="1"/>
        </w:numPr>
      </w:pPr>
      <w:proofErr w:type="spellStart"/>
      <w:r w:rsidRPr="00186F83">
        <w:rPr>
          <w:i/>
          <w:iCs/>
        </w:rPr>
        <w:t>i</w:t>
      </w:r>
      <w:r>
        <w:t>MAP</w:t>
      </w:r>
      <w:proofErr w:type="spellEnd"/>
      <w:r>
        <w:t xml:space="preserve"> </w:t>
      </w:r>
      <w:r w:rsidR="00DC632A">
        <w:t xml:space="preserve">(a) </w:t>
      </w:r>
      <w:r>
        <w:t>reduce</w:t>
      </w:r>
      <w:r w:rsidR="008707BF">
        <w:t>s</w:t>
      </w:r>
      <w:r>
        <w:t xml:space="preserve"> the number of medication related problems compared to SC </w:t>
      </w:r>
      <w:r w:rsidR="001108BF">
        <w:t xml:space="preserve">at </w:t>
      </w:r>
      <w:r w:rsidR="0009651C">
        <w:t>6-months and</w:t>
      </w:r>
      <w:r w:rsidR="00CD0324">
        <w:t xml:space="preserve"> </w:t>
      </w:r>
      <w:r>
        <w:t>12</w:t>
      </w:r>
      <w:r w:rsidR="00CD0324">
        <w:t>-</w:t>
      </w:r>
      <w:r>
        <w:t xml:space="preserve"> months in older adults (65+) in community-based primary care practices taking at least 3 total medications</w:t>
      </w:r>
      <w:r w:rsidR="00DC632A">
        <w:t xml:space="preserve"> and (b) </w:t>
      </w:r>
      <w:proofErr w:type="spellStart"/>
      <w:r w:rsidR="00FC43E4" w:rsidRPr="00186F83">
        <w:rPr>
          <w:i/>
          <w:iCs/>
        </w:rPr>
        <w:t>i</w:t>
      </w:r>
      <w:r w:rsidR="00FC43E4">
        <w:t>MAP</w:t>
      </w:r>
      <w:proofErr w:type="spellEnd"/>
      <w:r w:rsidR="00FC43E4">
        <w:t xml:space="preserve"> </w:t>
      </w:r>
      <w:r w:rsidR="00DC632A">
        <w:t xml:space="preserve">reduces </w:t>
      </w:r>
      <w:r w:rsidR="00FC43E4">
        <w:t xml:space="preserve">the presence </w:t>
      </w:r>
      <w:r w:rsidR="00DC632A">
        <w:t xml:space="preserve">of each of the 6 individual medication related problems </w:t>
      </w:r>
      <w:r w:rsidR="006723F2">
        <w:t xml:space="preserve">(undertreatment; suboptimal dosing, duration, frequency or administration; need for medication monitoring; suboptimal drug; adverse drug event present; nonadherence) </w:t>
      </w:r>
      <w:r w:rsidR="00DC632A">
        <w:t>at</w:t>
      </w:r>
      <w:r w:rsidR="00CD0324">
        <w:t xml:space="preserve"> 6-months and</w:t>
      </w:r>
      <w:r w:rsidR="00DC632A">
        <w:t xml:space="preserve"> 12</w:t>
      </w:r>
      <w:r w:rsidR="00CD0324">
        <w:t>-</w:t>
      </w:r>
      <w:r w:rsidR="00DC632A">
        <w:t>months.</w:t>
      </w:r>
    </w:p>
    <w:p w14:paraId="587959DF" w14:textId="7873D007" w:rsidR="0009651C" w:rsidRPr="005E1619" w:rsidRDefault="0009651C" w:rsidP="0009651C">
      <w:pPr>
        <w:pStyle w:val="ListParagraph"/>
        <w:numPr>
          <w:ilvl w:val="0"/>
          <w:numId w:val="1"/>
        </w:numPr>
      </w:pPr>
      <w:proofErr w:type="spellStart"/>
      <w:r w:rsidRPr="00186F83">
        <w:rPr>
          <w:i/>
          <w:iCs/>
        </w:rPr>
        <w:t>i</w:t>
      </w:r>
      <w:r>
        <w:t>MAP</w:t>
      </w:r>
      <w:proofErr w:type="spellEnd"/>
      <w:r>
        <w:t xml:space="preserve"> improves</w:t>
      </w:r>
      <w:r w:rsidR="00AE36A5">
        <w:t xml:space="preserve"> (i.e., increases)</w:t>
      </w:r>
      <w:r>
        <w:t xml:space="preserve"> time to first health services utilization over 12-months compared to SC in older adults (65+) in community-based primary care practices taking at least 3 total medications.</w:t>
      </w:r>
    </w:p>
    <w:p w14:paraId="78E73215" w14:textId="77777777" w:rsidR="0009651C" w:rsidRPr="005E1619" w:rsidRDefault="0009651C" w:rsidP="0009651C">
      <w:pPr>
        <w:pStyle w:val="ListParagraph"/>
        <w:ind w:left="405"/>
      </w:pPr>
    </w:p>
    <w:p w14:paraId="2B4D0C46" w14:textId="6DBE6004" w:rsidR="00211B47" w:rsidRDefault="00211B47"/>
    <w:sectPr w:rsidR="0021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57C"/>
    <w:multiLevelType w:val="hybridMultilevel"/>
    <w:tmpl w:val="CC80D69A"/>
    <w:lvl w:ilvl="0" w:tplc="1B7CAC5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277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32"/>
    <w:rsid w:val="0002001F"/>
    <w:rsid w:val="00033681"/>
    <w:rsid w:val="0009651C"/>
    <w:rsid w:val="000A7C6B"/>
    <w:rsid w:val="000B4927"/>
    <w:rsid w:val="000F00BE"/>
    <w:rsid w:val="000F68C1"/>
    <w:rsid w:val="001020CB"/>
    <w:rsid w:val="001108BF"/>
    <w:rsid w:val="00123D8C"/>
    <w:rsid w:val="00153499"/>
    <w:rsid w:val="001844E6"/>
    <w:rsid w:val="00186F83"/>
    <w:rsid w:val="001E16AA"/>
    <w:rsid w:val="00211B47"/>
    <w:rsid w:val="00227D59"/>
    <w:rsid w:val="00236F83"/>
    <w:rsid w:val="00247C5E"/>
    <w:rsid w:val="00260EA5"/>
    <w:rsid w:val="002C3CCB"/>
    <w:rsid w:val="002E130A"/>
    <w:rsid w:val="002F0717"/>
    <w:rsid w:val="003436FE"/>
    <w:rsid w:val="00343C7E"/>
    <w:rsid w:val="0035645A"/>
    <w:rsid w:val="00374BAD"/>
    <w:rsid w:val="00383264"/>
    <w:rsid w:val="003E6311"/>
    <w:rsid w:val="003F3E45"/>
    <w:rsid w:val="00483599"/>
    <w:rsid w:val="004E12CC"/>
    <w:rsid w:val="005353C4"/>
    <w:rsid w:val="005A2307"/>
    <w:rsid w:val="005E1619"/>
    <w:rsid w:val="005F43BC"/>
    <w:rsid w:val="005F5689"/>
    <w:rsid w:val="006143C5"/>
    <w:rsid w:val="00623FF7"/>
    <w:rsid w:val="00644840"/>
    <w:rsid w:val="006723F2"/>
    <w:rsid w:val="00681115"/>
    <w:rsid w:val="006A7B84"/>
    <w:rsid w:val="006E54FE"/>
    <w:rsid w:val="006F4426"/>
    <w:rsid w:val="006F6776"/>
    <w:rsid w:val="007037F9"/>
    <w:rsid w:val="007646EF"/>
    <w:rsid w:val="0077154F"/>
    <w:rsid w:val="007A5BF9"/>
    <w:rsid w:val="007D658D"/>
    <w:rsid w:val="008069CA"/>
    <w:rsid w:val="008111DA"/>
    <w:rsid w:val="00825678"/>
    <w:rsid w:val="00847FEB"/>
    <w:rsid w:val="00850E21"/>
    <w:rsid w:val="00856062"/>
    <w:rsid w:val="008707BF"/>
    <w:rsid w:val="00883628"/>
    <w:rsid w:val="008D06C7"/>
    <w:rsid w:val="008E05EE"/>
    <w:rsid w:val="008F4F22"/>
    <w:rsid w:val="00931958"/>
    <w:rsid w:val="009443C6"/>
    <w:rsid w:val="00944A20"/>
    <w:rsid w:val="00976B11"/>
    <w:rsid w:val="00987053"/>
    <w:rsid w:val="009905CB"/>
    <w:rsid w:val="009D3880"/>
    <w:rsid w:val="00A05D1C"/>
    <w:rsid w:val="00A10FD7"/>
    <w:rsid w:val="00A231AB"/>
    <w:rsid w:val="00A412EB"/>
    <w:rsid w:val="00A43199"/>
    <w:rsid w:val="00A530AD"/>
    <w:rsid w:val="00A53732"/>
    <w:rsid w:val="00A71541"/>
    <w:rsid w:val="00A81042"/>
    <w:rsid w:val="00AB2CF2"/>
    <w:rsid w:val="00AB3770"/>
    <w:rsid w:val="00AE2A87"/>
    <w:rsid w:val="00AE36A5"/>
    <w:rsid w:val="00B3101F"/>
    <w:rsid w:val="00B32491"/>
    <w:rsid w:val="00B36452"/>
    <w:rsid w:val="00B3727D"/>
    <w:rsid w:val="00B67AA7"/>
    <w:rsid w:val="00B97D6A"/>
    <w:rsid w:val="00BA04CB"/>
    <w:rsid w:val="00BB5AA3"/>
    <w:rsid w:val="00BC6F4C"/>
    <w:rsid w:val="00BF0A7D"/>
    <w:rsid w:val="00C1093F"/>
    <w:rsid w:val="00C152FA"/>
    <w:rsid w:val="00C23A30"/>
    <w:rsid w:val="00C95A1F"/>
    <w:rsid w:val="00CD0324"/>
    <w:rsid w:val="00CD1EED"/>
    <w:rsid w:val="00CF37B3"/>
    <w:rsid w:val="00D578B1"/>
    <w:rsid w:val="00D646AB"/>
    <w:rsid w:val="00D847AD"/>
    <w:rsid w:val="00DC632A"/>
    <w:rsid w:val="00E10C60"/>
    <w:rsid w:val="00E24D76"/>
    <w:rsid w:val="00E513C3"/>
    <w:rsid w:val="00EC1EC7"/>
    <w:rsid w:val="00EE2AAB"/>
    <w:rsid w:val="00EF372D"/>
    <w:rsid w:val="00F02D83"/>
    <w:rsid w:val="00F16F36"/>
    <w:rsid w:val="00FA088D"/>
    <w:rsid w:val="00FC0312"/>
    <w:rsid w:val="00FC43E4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6F71"/>
  <w15:chartTrackingRefBased/>
  <w15:docId w15:val="{61F304D3-6A79-40F3-8D6E-FF5E3884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307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247C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7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C5E"/>
    <w:rPr>
      <w:b/>
      <w:bCs/>
      <w:sz w:val="20"/>
      <w:szCs w:val="20"/>
    </w:rPr>
  </w:style>
  <w:style w:type="character" w:customStyle="1" w:styleId="textlayer--absolute">
    <w:name w:val="textlayer--absolute"/>
    <w:basedOn w:val="DefaultParagraphFont"/>
    <w:rsid w:val="0038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C6BB-812C-433C-92B9-76408A6B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Esserman, Denise</dc:creator>
  <cp:keywords/>
  <dc:description/>
  <cp:lastModifiedBy>Katsovich, Liliya</cp:lastModifiedBy>
  <cp:revision>37</cp:revision>
  <dcterms:created xsi:type="dcterms:W3CDTF">2023-01-17T18:26:00Z</dcterms:created>
  <dcterms:modified xsi:type="dcterms:W3CDTF">2025-07-27T04:06:00Z</dcterms:modified>
</cp:coreProperties>
</file>